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center"/>
        <w:rPr/>
      </w:pPr>
      <w:r>
        <w:rPr>
          <w:b/>
          <w:sz w:val="32"/>
          <w:szCs w:val="40"/>
        </w:rPr>
        <w:t>Z</w:t>
      </w:r>
      <w:r>
        <w:rPr>
          <w:b/>
          <w:sz w:val="32"/>
          <w:szCs w:val="40"/>
        </w:rPr>
        <w:t>ávěrečn</w:t>
      </w:r>
      <w:r>
        <w:rPr>
          <w:b/>
          <w:sz w:val="32"/>
          <w:szCs w:val="40"/>
        </w:rPr>
        <w:t>ý</w:t>
      </w:r>
      <w:r>
        <w:rPr>
          <w:b/>
          <w:sz w:val="32"/>
          <w:szCs w:val="40"/>
        </w:rPr>
        <w:t xml:space="preserve"> úč</w:t>
      </w:r>
      <w:r>
        <w:rPr>
          <w:b/>
          <w:sz w:val="32"/>
          <w:szCs w:val="40"/>
        </w:rPr>
        <w:t>et</w:t>
      </w:r>
    </w:p>
    <w:p>
      <w:pPr>
        <w:pStyle w:val="Normal"/>
        <w:spacing w:before="0" w:after="200"/>
        <w:contextualSpacing/>
        <w:jc w:val="center"/>
        <w:rPr>
          <w:b/>
          <w:b/>
          <w:sz w:val="32"/>
          <w:szCs w:val="40"/>
        </w:rPr>
      </w:pPr>
      <w:r>
        <w:rPr>
          <w:b/>
          <w:sz w:val="32"/>
          <w:szCs w:val="40"/>
        </w:rPr>
        <w:t>DSO Společenství obcí Čertovo břemeno za rok 2014</w:t>
      </w:r>
    </w:p>
    <w:p>
      <w:pPr>
        <w:pStyle w:val="Normal"/>
        <w:spacing w:before="0" w:after="20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Zpracovaný na základě §17 zákona č. 250/2000 SB., o rozpočtových pravidlech územních rozpočtů ve znění pozdějších předpisů</w:t>
      </w:r>
    </w:p>
    <w:p>
      <w:pPr>
        <w:pStyle w:val="Normal"/>
        <w:spacing w:before="0" w:after="20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Společenství obcí Čertovo břemeno, DSO</w:t>
      </w:r>
    </w:p>
    <w:p>
      <w:pPr>
        <w:pStyle w:val="Normal"/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IČ: 70 13 35 49</w:t>
      </w:r>
    </w:p>
    <w:p>
      <w:pPr>
        <w:pStyle w:val="Normal"/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 xml:space="preserve">Borotín čp. 57, 391 35 Borotín            </w:t>
      </w:r>
    </w:p>
    <w:p>
      <w:pPr>
        <w:pStyle w:val="Normal"/>
        <w:spacing w:before="0" w:after="20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Obsah: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Uzávěrka k 31.12.2014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Konečné stavy k 31.12.2014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Dotace k 31.12.2014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Rozpočet a rozpočtová opatření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Inventarizace majetku a závazků sestavená k 31.12.2014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Přezkoumání hospodaření za rok 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Poplatky a daně k 31.12.2014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Obecně závazné vyhlášky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Výběrová řízení v roce 2014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Stav peněžních fondů, hospodářská činnost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Na úřední desce, včetně elektronické úřední desky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Vyvěšeno dne:       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Sejmuto dne:    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Razítko a podpis předsedy DSO Společenství obcí Čertovo břemeno: ……………………………….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Přílohy: Rozvaha, Výkaz zisků a ztrát, Příloha k účetní závěrce, Výkaz pro hodnocení plnění rozpočtu za období 12/2014, Zpráva o přezkoumání hospodaření za rok 2014.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Vypracovala: Jana Čermáková</w:t>
      </w:r>
    </w:p>
    <w:p>
      <w:pPr>
        <w:pStyle w:val="Normal"/>
        <w:spacing w:before="0" w:after="200"/>
        <w:ind w:left="360" w:right="0" w:hanging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Schváleno na valné hromadě DSO dne: </w:t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– Uzávěrka k  31.12.2014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Tiskové sestavy rozvahy, výsledovky a přílohy k účetní závěrce jsou nedílnou součástí tohoto závěrečného účtu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– Konečné stavy  k  31.12.2014</w:t>
      </w:r>
    </w:p>
    <w:p>
      <w:pPr>
        <w:pStyle w:val="Normal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sz w:val="20"/>
          <w:szCs w:val="24"/>
        </w:rPr>
        <w:t xml:space="preserve">ČSOB Era - základní běžný účet č. 245192928/0300: </w:t>
      </w:r>
      <w:r>
        <w:rPr>
          <w:b/>
          <w:sz w:val="20"/>
          <w:szCs w:val="24"/>
        </w:rPr>
        <w:t>Kč 233.440,50</w:t>
      </w:r>
    </w:p>
    <w:p>
      <w:pPr>
        <w:pStyle w:val="Normal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sz w:val="20"/>
          <w:szCs w:val="24"/>
        </w:rPr>
        <w:t xml:space="preserve">ČNB: účet pro transfery č. 94-10812301/0710: </w:t>
      </w:r>
      <w:r>
        <w:rPr>
          <w:b/>
          <w:sz w:val="20"/>
          <w:szCs w:val="24"/>
        </w:rPr>
        <w:t>Kč 110.130,14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Pokladna: Kč 0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DSO Společenství obcí Čertovo břemeno nemá žádné úvěry.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– Dotace, granty, dary, návratné fin. výpomoci, projekty   k  31.12.2014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Neinvestiční transfery od členských obcí – řádné členské, příspěvky na financování pečovatele-poradce a účetní svazku                                                       481.299,-Kč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Investiční transfery od členských obcí – spoluúčasti k projektu         634.726,-Kč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Celkem:                                                                                                     1.116 025,- Kč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Neinvestiční transfery z rozpočtu Jihočeského kraje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Příspěvek na zajištění úpravy a propagace lyžař. tras    /ÚZ 92/           50.000,-Kč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Přiděleno: 50.000,-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Vyčerpáno: 0, převedeno do r. 2015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Rozvoj turistických tras Greenways /ÚZ 710/                                         600.000,-Kč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Přiděleno: 600.000,-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Vyčerpáno: 600.000,- Kč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Celkem:                                                                                                           650.000,-Kč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Neinvestiční. transfer ze  SZIF / MAS Mladá Vožice - Zkvalitňování zelených stezek Greenways ČB 2011, 2012 a 2013                                                                                                       109.340,-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Přiděleno: 109.340,-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Vyčerpáno: 109.340,-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Neinv. transfer ze SZIF/MAS Mladá Vožice – Rozvoj zel. Stezek Gr.   167.220,-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Přiděleno: 167.220,-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Vyčerpáno: 167.220,- Kč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Celkem:                                                                                                           276.560,-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sz w:val="20"/>
          <w:szCs w:val="24"/>
        </w:rPr>
        <w:t xml:space="preserve">Investiční dotace OPŽP, FS – Doplnění systém separace odpadů   </w:t>
      </w:r>
      <w:r>
        <w:rPr>
          <w:b/>
          <w:sz w:val="20"/>
          <w:szCs w:val="24"/>
        </w:rPr>
        <w:t>4.972 797,50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Přiděleno:  4.972 797,50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Vyčerpáno: 4.972797,50 Kč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 xml:space="preserve">Část – Rozpočet a rozpočtová opatření 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DSO v roce 2014 hospodařil podle rozpočtu schváleného valnou hromadou svazku dne 19.12.2013. Rozpočet byl schválen jako vyrovnaný a v průběhu roku byl upravován osmi rozpočtovými opatřeními, která byla schválena předsedou svazku na základě svěřené pravomoci nebo valnou hromadou.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- Inventarizace majetku a závazků sestavená k 31.12.2014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Na základě plánu inventarizace ze dne 10.12.2014 byla provedena inventarizace majetku a závazků. 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Nebyly shledány nedostatky.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- Přezkoumání hospodaření za rok 2014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Přezkoumání hospodaření se uskutečnilo ve dnech: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29.10.2014</w:t>
      </w:r>
    </w:p>
    <w:p>
      <w:pPr>
        <w:pStyle w:val="ListParagraph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29.04.2015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Na základě písemné žádosti svazku v souladu s ustanoveními § 42 odst. 1, zákona č. 128/2000 Sb., ve znění pozdějších předpisů. Předmět zkoumání je určen zákonem č. 420/2004 Sb., o přezkoumávání hospodaření ÚSC a DSO. Přezkoumání bylo provedeno paní ing. Marií Houškovou. Při přezkoumání nebyly zjištěny chyby a nedostatky. Na základě provedeného zjištění se v hospodaření svazku nejeví žádná rizika.</w:t>
      </w:r>
    </w:p>
    <w:p>
      <w:pPr>
        <w:pStyle w:val="ListParagraph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Část - Poplatky a daně k 31.12.2014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DSO Společenství obcí Čertovo břemeno není příjemcem daní a nevybírá místní ani jiné poplatky.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color w:val="1D1B11"/>
          <w:sz w:val="20"/>
          <w:szCs w:val="24"/>
        </w:rPr>
      </w:pPr>
      <w:r>
        <w:rPr>
          <w:b/>
          <w:color w:val="1D1B11"/>
          <w:sz w:val="20"/>
          <w:szCs w:val="24"/>
        </w:rPr>
        <w:t>Část - Obecně závazné vyhlášky</w:t>
      </w:r>
    </w:p>
    <w:p>
      <w:pPr>
        <w:pStyle w:val="Normal"/>
        <w:spacing w:lineRule="auto" w:line="240" w:before="120" w:after="0"/>
        <w:ind w:left="360" w:right="0" w:hanging="0"/>
        <w:contextualSpacing/>
        <w:jc w:val="both"/>
        <w:rPr>
          <w:color w:val="1D1B11"/>
          <w:sz w:val="20"/>
          <w:szCs w:val="24"/>
        </w:rPr>
      </w:pPr>
      <w:r>
        <w:rPr>
          <w:color w:val="1D1B11"/>
          <w:sz w:val="20"/>
          <w:szCs w:val="24"/>
        </w:rPr>
        <w:t>DSO Společenství obcí Čertovo břemeno nevydává žádné vyhlášky.</w:t>
      </w:r>
    </w:p>
    <w:p>
      <w:pPr>
        <w:pStyle w:val="Normal"/>
        <w:spacing w:lineRule="auto" w:line="240" w:before="120" w:after="0"/>
        <w:contextualSpacing/>
        <w:jc w:val="both"/>
        <w:rPr>
          <w:color w:val="1D1B11"/>
          <w:sz w:val="20"/>
          <w:szCs w:val="24"/>
        </w:rPr>
      </w:pPr>
      <w:r>
        <w:rPr>
          <w:color w:val="1D1B11"/>
          <w:sz w:val="20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color w:val="1D1B11"/>
          <w:sz w:val="20"/>
          <w:szCs w:val="24"/>
        </w:rPr>
      </w:pPr>
      <w:r>
        <w:rPr>
          <w:b/>
          <w:color w:val="1D1B11"/>
          <w:sz w:val="20"/>
          <w:szCs w:val="24"/>
        </w:rPr>
        <w:t>Část - Výběrová řízení v roce 2014</w:t>
      </w:r>
    </w:p>
    <w:p>
      <w:pPr>
        <w:pStyle w:val="Normal"/>
        <w:spacing w:lineRule="auto" w:line="240" w:before="120" w:after="0"/>
        <w:contextualSpacing/>
        <w:jc w:val="both"/>
        <w:rPr>
          <w:color w:val="1D1B11"/>
          <w:sz w:val="20"/>
          <w:szCs w:val="24"/>
        </w:rPr>
      </w:pPr>
      <w:r>
        <w:rPr>
          <w:color w:val="1D1B11"/>
          <w:sz w:val="20"/>
          <w:szCs w:val="24"/>
        </w:rPr>
        <w:t>V roce 2014 bylo vyhlášeno výběrové řízení na veřejnou zakázku malého rozsahu na akci „Rozvoj turistických tras Greenways Čertovo břemeno“/POV Jč. kraje. Garantem výběrového řízení byly starostové obcí, ve kterých se projekt realizoval.</w:t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color w:val="1D1B11"/>
          <w:sz w:val="20"/>
          <w:szCs w:val="24"/>
        </w:rPr>
        <w:t>Část - Stav peněžních</w:t>
      </w:r>
      <w:r>
        <w:rPr>
          <w:b/>
          <w:sz w:val="20"/>
          <w:szCs w:val="24"/>
        </w:rPr>
        <w:t xml:space="preserve"> fondů, hospodářská činnost</w:t>
      </w:r>
    </w:p>
    <w:p>
      <w:pPr>
        <w:pStyle w:val="Normal"/>
        <w:spacing w:lineRule="auto" w:line="240" w:before="120" w:after="0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DSO Společenství obcí Čertovo břemeno nemá zřízeny žádné peněžní fondy a nevyvíjí žádnou hospodářskou činnost. </w:t>
      </w:r>
    </w:p>
    <w:p>
      <w:pPr>
        <w:pStyle w:val="Normal"/>
        <w:spacing w:lineRule="auto" w:line="240" w:before="120" w:after="0"/>
        <w:ind w:left="360" w:right="0" w:hanging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Normal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V Borotíně, 22.05.2015</w:t>
      </w:r>
    </w:p>
    <w:p>
      <w:pPr>
        <w:pStyle w:val="Normal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Normal"/>
        <w:spacing w:lineRule="auto" w:line="240" w:before="120" w:after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Normal"/>
        <w:spacing w:before="0" w:after="200"/>
        <w:ind w:left="360" w:right="0" w:hanging="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Návrh usnesení:</w:t>
      </w:r>
    </w:p>
    <w:p>
      <w:pPr>
        <w:pStyle w:val="Normal"/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>Valná hromada DSO Společenství obcí Čertovo břemeno schvaluje celoroční hospodaření svazku a závěrečný účet za rok 2014, včetně zprávy o výsledku přezkoumání hospodaření svazku za rok 2014.</w:t>
      </w:r>
    </w:p>
    <w:p>
      <w:pPr>
        <w:pStyle w:val="Normal"/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200"/>
        <w:contextualSpacing/>
        <w:jc w:val="both"/>
        <w:rPr>
          <w:b/>
          <w:b/>
          <w:sz w:val="20"/>
          <w:szCs w:val="24"/>
        </w:rPr>
      </w:pPr>
      <w:r>
        <w:rPr>
          <w:b/>
          <w:sz w:val="20"/>
          <w:szCs w:val="24"/>
        </w:rPr>
        <w:t xml:space="preserve">      </w:t>
      </w:r>
      <w:r>
        <w:rPr>
          <w:b/>
          <w:sz w:val="20"/>
          <w:szCs w:val="24"/>
        </w:rPr>
        <w:t>Projednání závěrečného účtu se uzavírá vyjádřením souhlasu bez výhrad.</w:t>
      </w:r>
    </w:p>
    <w:p>
      <w:pPr>
        <w:pStyle w:val="Normal"/>
        <w:spacing w:before="0" w:after="200"/>
        <w:contextualSpacing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9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e30d3f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alibri"/>
      <w:b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5351a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LibreOffice/5.4.7.2$Windows_X86_64 LibreOffice_project/c838ef25c16710f8838b1faec480ebba495259d0</Application>
  <Pages>2</Pages>
  <Words>647</Words>
  <Characters>3806</Characters>
  <CharactersWithSpaces>4936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2015-05-22T13:29:00Z</dcterms:created>
  <dc:creator>uzivatel</dc:creator>
  <dc:description/>
  <dc:language>cs-CZ</dc:language>
  <cp:lastModifiedBy/>
  <cp:lastPrinted>2015-05-22T13:23:00Z</cp:lastPrinted>
  <dcterms:modified xsi:type="dcterms:W3CDTF">2020-09-26T11:47:41Z</dcterms:modified>
  <cp:revision>3</cp:revision>
  <dc:subject/>
  <dc:title/>
</cp:coreProperties>
</file>